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960" w:rsidRPr="008D5960" w:rsidRDefault="008D5960" w:rsidP="008D5960">
      <w:pPr>
        <w:spacing w:line="480" w:lineRule="auto"/>
        <w:rPr>
          <w:rFonts w:ascii="Times New Roman" w:hAnsi="Times New Roman" w:cs="Times New Roman"/>
          <w:sz w:val="24"/>
          <w:shd w:val="clear" w:color="auto" w:fill="FFFFFF"/>
        </w:rPr>
      </w:pPr>
    </w:p>
    <w:p w:rsidR="008D5960" w:rsidRPr="008D5960" w:rsidRDefault="008D5960" w:rsidP="008D5960">
      <w:pPr>
        <w:spacing w:line="480" w:lineRule="auto"/>
        <w:rPr>
          <w:rFonts w:ascii="Times New Roman" w:hAnsi="Times New Roman" w:cs="Times New Roman"/>
          <w:sz w:val="24"/>
          <w:shd w:val="clear" w:color="auto" w:fill="FFFFFF"/>
        </w:rPr>
      </w:pPr>
    </w:p>
    <w:p w:rsidR="008D5960" w:rsidRPr="008D5960" w:rsidRDefault="008D5960" w:rsidP="008D5960">
      <w:pPr>
        <w:spacing w:line="480" w:lineRule="auto"/>
        <w:rPr>
          <w:rFonts w:ascii="Times New Roman" w:hAnsi="Times New Roman" w:cs="Times New Roman"/>
          <w:sz w:val="24"/>
          <w:shd w:val="clear" w:color="auto" w:fill="FFFFFF"/>
        </w:rPr>
      </w:pPr>
    </w:p>
    <w:p w:rsidR="008D5960" w:rsidRPr="008D5960" w:rsidRDefault="008D5960" w:rsidP="008D5960">
      <w:pPr>
        <w:spacing w:line="480" w:lineRule="auto"/>
        <w:rPr>
          <w:rFonts w:ascii="Times New Roman" w:hAnsi="Times New Roman" w:cs="Times New Roman"/>
          <w:sz w:val="24"/>
          <w:shd w:val="clear" w:color="auto" w:fill="FFFFFF"/>
        </w:rPr>
      </w:pPr>
    </w:p>
    <w:p w:rsidR="008D5960" w:rsidRPr="008D5960" w:rsidRDefault="008D5960" w:rsidP="008D5960">
      <w:pPr>
        <w:spacing w:line="480" w:lineRule="auto"/>
        <w:rPr>
          <w:rFonts w:ascii="Times New Roman" w:hAnsi="Times New Roman" w:cs="Times New Roman"/>
          <w:sz w:val="24"/>
          <w:shd w:val="clear" w:color="auto" w:fill="FFFFFF"/>
        </w:rPr>
      </w:pPr>
    </w:p>
    <w:p w:rsidR="008D5960" w:rsidRPr="008D5960" w:rsidRDefault="008D5960" w:rsidP="008D5960">
      <w:pPr>
        <w:spacing w:line="480" w:lineRule="auto"/>
        <w:rPr>
          <w:rFonts w:ascii="Times New Roman" w:hAnsi="Times New Roman" w:cs="Times New Roman"/>
          <w:sz w:val="24"/>
          <w:shd w:val="clear" w:color="auto" w:fill="FFFFFF"/>
        </w:rPr>
      </w:pPr>
    </w:p>
    <w:p w:rsidR="008D5960" w:rsidRPr="008D5960" w:rsidRDefault="008D5960" w:rsidP="008D5960">
      <w:pPr>
        <w:spacing w:line="480" w:lineRule="auto"/>
        <w:jc w:val="center"/>
        <w:rPr>
          <w:rFonts w:ascii="Times New Roman" w:hAnsi="Times New Roman" w:cs="Times New Roman"/>
          <w:sz w:val="24"/>
        </w:rPr>
      </w:pPr>
      <w:r w:rsidRPr="008D5960">
        <w:rPr>
          <w:rFonts w:ascii="Times New Roman" w:hAnsi="Times New Roman" w:cs="Times New Roman"/>
          <w:sz w:val="24"/>
        </w:rPr>
        <w:t>Vicarious Trauma Assessment</w:t>
      </w:r>
    </w:p>
    <w:p w:rsidR="008D5960" w:rsidRPr="008D5960" w:rsidRDefault="008D5960" w:rsidP="008D5960">
      <w:pPr>
        <w:spacing w:line="480" w:lineRule="auto"/>
        <w:jc w:val="center"/>
        <w:rPr>
          <w:rFonts w:ascii="Times New Roman" w:hAnsi="Times New Roman" w:cs="Times New Roman"/>
          <w:sz w:val="24"/>
        </w:rPr>
      </w:pPr>
      <w:r w:rsidRPr="008D5960">
        <w:rPr>
          <w:rFonts w:ascii="Times New Roman" w:hAnsi="Times New Roman" w:cs="Times New Roman"/>
          <w:sz w:val="24"/>
        </w:rPr>
        <w:t>Name of Student</w:t>
      </w:r>
    </w:p>
    <w:p w:rsidR="008D5960" w:rsidRPr="008D5960" w:rsidRDefault="008D5960" w:rsidP="008D5960">
      <w:pPr>
        <w:spacing w:line="480" w:lineRule="auto"/>
        <w:jc w:val="center"/>
        <w:rPr>
          <w:rFonts w:ascii="Times New Roman" w:hAnsi="Times New Roman" w:cs="Times New Roman"/>
          <w:sz w:val="24"/>
        </w:rPr>
      </w:pPr>
      <w:r w:rsidRPr="008D5960">
        <w:rPr>
          <w:rFonts w:ascii="Times New Roman" w:hAnsi="Times New Roman" w:cs="Times New Roman"/>
          <w:sz w:val="24"/>
        </w:rPr>
        <w:t>Name of Institution</w:t>
      </w:r>
    </w:p>
    <w:p w:rsidR="008D5960" w:rsidRPr="008D5960" w:rsidRDefault="008D5960" w:rsidP="008D5960">
      <w:pPr>
        <w:spacing w:line="480" w:lineRule="auto"/>
        <w:jc w:val="center"/>
        <w:rPr>
          <w:rFonts w:ascii="Times New Roman" w:hAnsi="Times New Roman" w:cs="Times New Roman"/>
          <w:sz w:val="24"/>
          <w:shd w:val="clear" w:color="auto" w:fill="FFFFFF"/>
        </w:rPr>
      </w:pPr>
      <w:r w:rsidRPr="008D5960">
        <w:rPr>
          <w:rFonts w:ascii="Times New Roman" w:hAnsi="Times New Roman" w:cs="Times New Roman"/>
          <w:sz w:val="24"/>
        </w:rPr>
        <w:t xml:space="preserve">Date  </w:t>
      </w:r>
      <w:r w:rsidRPr="008D5960">
        <w:rPr>
          <w:rFonts w:ascii="Times New Roman" w:hAnsi="Times New Roman" w:cs="Times New Roman"/>
          <w:sz w:val="24"/>
          <w:shd w:val="clear" w:color="auto" w:fill="FFFFFF"/>
        </w:rPr>
        <w:br w:type="page"/>
      </w:r>
    </w:p>
    <w:p w:rsidR="008D5960" w:rsidRPr="008D5960" w:rsidRDefault="008D5960" w:rsidP="008D5960">
      <w:pPr>
        <w:spacing w:line="480" w:lineRule="auto"/>
        <w:ind w:firstLine="720"/>
        <w:rPr>
          <w:rFonts w:ascii="Times New Roman" w:hAnsi="Times New Roman" w:cs="Times New Roman"/>
          <w:sz w:val="24"/>
          <w:shd w:val="clear" w:color="auto" w:fill="FFFFFF"/>
        </w:rPr>
      </w:pPr>
      <w:r w:rsidRPr="008D5960">
        <w:rPr>
          <w:rFonts w:ascii="Times New Roman" w:hAnsi="Times New Roman" w:cs="Times New Roman"/>
          <w:sz w:val="24"/>
          <w:shd w:val="clear" w:color="auto" w:fill="FFFFFF"/>
        </w:rPr>
        <w:lastRenderedPageBreak/>
        <w:t xml:space="preserve">I found the questions easy to answer since they are open and direct to the point. The questions also provide case scenarios to compare to which aids in the internalization of content and provides context. The material in the questionnaire was vividly practical by highlighting elements from challenging professional notions that I struggle with. The questions employed invidious comparison, which made them more relatable and thus resolved any conflict. The only hindrance was denial. As a social worker, I help the client by maintaining a calm and composed demeanor (Edelkott, Engstrom, Hernandez-Wolfe, &amp; Gangsei, 2016), while the survey required the opposite. </w:t>
      </w:r>
    </w:p>
    <w:p w:rsidR="008D5960" w:rsidRPr="008D5960" w:rsidRDefault="008D5960" w:rsidP="008D5960">
      <w:pPr>
        <w:spacing w:line="480" w:lineRule="auto"/>
        <w:ind w:firstLine="720"/>
        <w:rPr>
          <w:rFonts w:ascii="Times New Roman" w:hAnsi="Times New Roman" w:cs="Times New Roman"/>
          <w:sz w:val="24"/>
          <w:shd w:val="clear" w:color="auto" w:fill="FFFFFF"/>
        </w:rPr>
      </w:pPr>
      <w:r w:rsidRPr="008D5960">
        <w:rPr>
          <w:rFonts w:ascii="Times New Roman" w:hAnsi="Times New Roman" w:cs="Times New Roman"/>
          <w:sz w:val="24"/>
          <w:shd w:val="clear" w:color="auto" w:fill="FFFFFF"/>
        </w:rPr>
        <w:t xml:space="preserve">The assessment highlighted that as a social worker, it is integral to engage in trauma-informed supervision. The care, in this context, drives at personal satisfaction for the social worker, and aids in separation from the professional aspect (Caringi, Hardiman, Weldon, Fletcher, Devlin, &amp; Stanick, 2017). I gathered that for me to cope with the shared knowledge of the experiences from my clients, it is essential that I engage in a range of different activities, within and out of the work environment. Trauma-informed supervision also speculates on the need for implementing the trauma skills and interventions learned as a personal coping mechanism (Berger &amp; Quiros, 2016). The tactic is highly influential in increasing the love for the job of social work and proves critical in establishing a long-lasting career. </w:t>
      </w:r>
    </w:p>
    <w:p w:rsidR="00A91EE7" w:rsidRDefault="008D5960" w:rsidP="00A91EE7">
      <w:pPr>
        <w:spacing w:line="480" w:lineRule="auto"/>
        <w:ind w:firstLine="720"/>
        <w:rPr>
          <w:rFonts w:ascii="Times New Roman" w:hAnsi="Times New Roman" w:cs="Times New Roman"/>
          <w:sz w:val="24"/>
          <w:shd w:val="clear" w:color="auto" w:fill="FFFFFF"/>
        </w:rPr>
      </w:pPr>
      <w:r w:rsidRPr="008D5960">
        <w:rPr>
          <w:rFonts w:ascii="Times New Roman" w:hAnsi="Times New Roman" w:cs="Times New Roman"/>
          <w:sz w:val="24"/>
          <w:shd w:val="clear" w:color="auto" w:fill="FFFFFF"/>
        </w:rPr>
        <w:t>A sense that centers the social worker, be it spiritual or economical, is critical in reducing the chances of secondary trauma (Hardiman &amp; Simmonds, 2013). The aspect provides an apparent calm within, which makes it possible to assess the value of the job against personal well-being. Burnout is one of the significant indicators of vicarious trauma. Dealing with burnout requires detailed information base on what is the cause. However, spiritual motivation and reasoning provide an element that prevents burnout and provides enthusiasm.</w:t>
      </w:r>
    </w:p>
    <w:p w:rsidR="00A91EE7" w:rsidRDefault="00A91EE7">
      <w:pPr>
        <w:rPr>
          <w:rFonts w:ascii="Times New Roman" w:hAnsi="Times New Roman" w:cs="Times New Roman"/>
          <w:sz w:val="24"/>
          <w:shd w:val="clear" w:color="auto" w:fill="FFFFFF"/>
        </w:rPr>
      </w:pPr>
      <w:r>
        <w:rPr>
          <w:rFonts w:ascii="Times New Roman" w:hAnsi="Times New Roman" w:cs="Times New Roman"/>
          <w:sz w:val="24"/>
          <w:shd w:val="clear" w:color="auto" w:fill="FFFFFF"/>
        </w:rPr>
        <w:lastRenderedPageBreak/>
        <w:br w:type="page"/>
      </w:r>
    </w:p>
    <w:p w:rsidR="008D5960" w:rsidRPr="008D5960" w:rsidRDefault="008D5960" w:rsidP="008D5960">
      <w:pPr>
        <w:spacing w:line="480" w:lineRule="auto"/>
        <w:jc w:val="center"/>
        <w:rPr>
          <w:rFonts w:ascii="Times New Roman" w:hAnsi="Times New Roman" w:cs="Times New Roman"/>
          <w:sz w:val="24"/>
          <w:shd w:val="clear" w:color="auto" w:fill="FFFFFF"/>
        </w:rPr>
      </w:pPr>
      <w:r w:rsidRPr="008D5960">
        <w:rPr>
          <w:rFonts w:ascii="Times New Roman" w:hAnsi="Times New Roman" w:cs="Times New Roman"/>
          <w:sz w:val="24"/>
          <w:shd w:val="clear" w:color="auto" w:fill="FFFFFF"/>
        </w:rPr>
        <w:lastRenderedPageBreak/>
        <w:t>References</w:t>
      </w:r>
    </w:p>
    <w:p w:rsidR="008D5960" w:rsidRPr="008D5960" w:rsidRDefault="008D5960" w:rsidP="008D5960">
      <w:pPr>
        <w:spacing w:line="480" w:lineRule="auto"/>
        <w:ind w:left="720" w:hanging="720"/>
        <w:rPr>
          <w:rFonts w:ascii="Times New Roman" w:hAnsi="Times New Roman" w:cs="Times New Roman"/>
          <w:sz w:val="24"/>
          <w:shd w:val="clear" w:color="auto" w:fill="FFFFFF"/>
        </w:rPr>
      </w:pPr>
      <w:r w:rsidRPr="008D5960">
        <w:rPr>
          <w:rFonts w:ascii="Times New Roman" w:hAnsi="Times New Roman" w:cs="Times New Roman"/>
          <w:sz w:val="24"/>
          <w:shd w:val="clear" w:color="auto" w:fill="FFFFFF"/>
        </w:rPr>
        <w:t>Berger, R., &amp; Quiros, L. (2016). Best practices for training trauma-informed practitioners: Supervisors' voice. Traumatology, 22 (2), 145.</w:t>
      </w:r>
    </w:p>
    <w:p w:rsidR="008D5960" w:rsidRPr="008D5960" w:rsidRDefault="008D5960" w:rsidP="008D5960">
      <w:pPr>
        <w:spacing w:line="480" w:lineRule="auto"/>
        <w:ind w:left="720" w:hanging="720"/>
        <w:rPr>
          <w:rFonts w:ascii="Times New Roman" w:hAnsi="Times New Roman" w:cs="Times New Roman"/>
          <w:sz w:val="24"/>
          <w:shd w:val="clear" w:color="auto" w:fill="FFFFFF"/>
        </w:rPr>
      </w:pPr>
      <w:r w:rsidRPr="008D5960">
        <w:rPr>
          <w:rFonts w:ascii="Times New Roman" w:hAnsi="Times New Roman" w:cs="Times New Roman"/>
          <w:sz w:val="24"/>
          <w:shd w:val="clear" w:color="auto" w:fill="FFFFFF"/>
        </w:rPr>
        <w:t>Caringi, J. C., Hardiman, E. R., Weldon, P., Fletcher, S., Devlin, m., &amp; Stanick, C. (2017). Secondary traumatic stress and licensed clinical social workers. Traumatology, 23 (2), 186.</w:t>
      </w:r>
    </w:p>
    <w:p w:rsidR="008D5960" w:rsidRPr="008D5960" w:rsidRDefault="008D5960" w:rsidP="008D5960">
      <w:pPr>
        <w:spacing w:line="480" w:lineRule="auto"/>
        <w:ind w:left="720" w:hanging="720"/>
        <w:rPr>
          <w:rFonts w:ascii="Times New Roman" w:hAnsi="Times New Roman" w:cs="Times New Roman"/>
          <w:sz w:val="24"/>
          <w:shd w:val="clear" w:color="auto" w:fill="FFFFFF"/>
        </w:rPr>
      </w:pPr>
      <w:r w:rsidRPr="008D5960">
        <w:rPr>
          <w:rFonts w:ascii="Times New Roman" w:hAnsi="Times New Roman" w:cs="Times New Roman"/>
          <w:sz w:val="24"/>
          <w:shd w:val="clear" w:color="auto" w:fill="FFFFFF"/>
        </w:rPr>
        <w:t>Edelkott, N., Engstrom, D. W., Hernandez-Wolfe, P., &amp; Gangsei, D. (2016). Vicarious resilience: Complexities and variations. American Journal of Orthopsychiatry, 86 (6), 713.</w:t>
      </w:r>
    </w:p>
    <w:p w:rsidR="008D5960" w:rsidRPr="008D5960" w:rsidRDefault="008D5960" w:rsidP="008D5960">
      <w:pPr>
        <w:spacing w:line="480" w:lineRule="auto"/>
        <w:ind w:left="720" w:hanging="720"/>
        <w:rPr>
          <w:rFonts w:ascii="Times New Roman" w:hAnsi="Times New Roman" w:cs="Times New Roman"/>
          <w:sz w:val="24"/>
          <w:shd w:val="clear" w:color="auto" w:fill="FFFFFF"/>
        </w:rPr>
      </w:pPr>
      <w:r w:rsidRPr="008D5960">
        <w:rPr>
          <w:rFonts w:ascii="Times New Roman" w:hAnsi="Times New Roman" w:cs="Times New Roman"/>
          <w:sz w:val="24"/>
          <w:shd w:val="clear" w:color="auto" w:fill="FFFFFF"/>
        </w:rPr>
        <w:t>Hardiman, P., &amp; Simmonds, J. G. (2013). Spiritual well-being, burnout, and trauma in counselors and psychotherapists. Mental Health, Religion, and Culture, 16 (10), 1044-1055(12).</w:t>
      </w:r>
    </w:p>
    <w:p w:rsidR="00817B34" w:rsidRPr="008D5960" w:rsidRDefault="00817B34" w:rsidP="008D5960">
      <w:pPr>
        <w:spacing w:line="480" w:lineRule="auto"/>
        <w:ind w:left="720" w:hanging="720"/>
        <w:rPr>
          <w:rFonts w:ascii="Times New Roman" w:hAnsi="Times New Roman" w:cs="Times New Roman"/>
          <w:sz w:val="24"/>
        </w:rPr>
      </w:pPr>
    </w:p>
    <w:sectPr w:rsidR="00817B34" w:rsidRPr="008D5960" w:rsidSect="008D59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495" w:rsidRDefault="00B36495" w:rsidP="008D5960">
      <w:pPr>
        <w:spacing w:after="0" w:line="240" w:lineRule="auto"/>
      </w:pPr>
      <w:r>
        <w:separator/>
      </w:r>
    </w:p>
  </w:endnote>
  <w:endnote w:type="continuationSeparator" w:id="1">
    <w:p w:rsidR="00B36495" w:rsidRDefault="00B36495" w:rsidP="008D59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495" w:rsidRDefault="00B36495" w:rsidP="008D5960">
      <w:pPr>
        <w:spacing w:after="0" w:line="240" w:lineRule="auto"/>
      </w:pPr>
      <w:r>
        <w:separator/>
      </w:r>
    </w:p>
  </w:footnote>
  <w:footnote w:type="continuationSeparator" w:id="1">
    <w:p w:rsidR="00B36495" w:rsidRDefault="00B36495" w:rsidP="008D59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60" w:rsidRPr="008D5960" w:rsidRDefault="008D5960">
    <w:pPr>
      <w:pStyle w:val="Header"/>
      <w:jc w:val="right"/>
      <w:rPr>
        <w:rFonts w:ascii="Times New Roman" w:hAnsi="Times New Roman" w:cs="Times New Roman"/>
        <w:sz w:val="24"/>
      </w:rPr>
    </w:pPr>
    <w:r w:rsidRPr="008D5960">
      <w:rPr>
        <w:rFonts w:ascii="Times New Roman" w:hAnsi="Times New Roman" w:cs="Times New Roman"/>
        <w:sz w:val="24"/>
      </w:rPr>
      <w:t xml:space="preserve">VICARIOUS TRAUMA ASSESSMENT </w:t>
    </w:r>
    <w:r w:rsidRPr="008D5960">
      <w:rPr>
        <w:rFonts w:ascii="Times New Roman" w:hAnsi="Times New Roman" w:cs="Times New Roman"/>
        <w:sz w:val="24"/>
      </w:rPr>
      <w:tab/>
    </w:r>
    <w:r w:rsidRPr="008D5960">
      <w:rPr>
        <w:rFonts w:ascii="Times New Roman" w:hAnsi="Times New Roman" w:cs="Times New Roman"/>
        <w:sz w:val="24"/>
      </w:rPr>
      <w:tab/>
    </w:r>
    <w:sdt>
      <w:sdtPr>
        <w:rPr>
          <w:rFonts w:ascii="Times New Roman" w:hAnsi="Times New Roman" w:cs="Times New Roman"/>
          <w:sz w:val="24"/>
        </w:rPr>
        <w:id w:val="361979255"/>
        <w:docPartObj>
          <w:docPartGallery w:val="Page Numbers (Top of Page)"/>
          <w:docPartUnique/>
        </w:docPartObj>
      </w:sdtPr>
      <w:sdtContent>
        <w:r w:rsidRPr="008D5960">
          <w:rPr>
            <w:rFonts w:ascii="Times New Roman" w:hAnsi="Times New Roman" w:cs="Times New Roman"/>
            <w:sz w:val="24"/>
          </w:rPr>
          <w:fldChar w:fldCharType="begin"/>
        </w:r>
        <w:r w:rsidRPr="008D5960">
          <w:rPr>
            <w:rFonts w:ascii="Times New Roman" w:hAnsi="Times New Roman" w:cs="Times New Roman"/>
            <w:sz w:val="24"/>
          </w:rPr>
          <w:instrText xml:space="preserve"> PAGE   \* MERGEFORMAT </w:instrText>
        </w:r>
        <w:r w:rsidRPr="008D5960">
          <w:rPr>
            <w:rFonts w:ascii="Times New Roman" w:hAnsi="Times New Roman" w:cs="Times New Roman"/>
            <w:sz w:val="24"/>
          </w:rPr>
          <w:fldChar w:fldCharType="separate"/>
        </w:r>
        <w:r w:rsidR="00A91EE7">
          <w:rPr>
            <w:rFonts w:ascii="Times New Roman" w:hAnsi="Times New Roman" w:cs="Times New Roman"/>
            <w:noProof/>
            <w:sz w:val="24"/>
          </w:rPr>
          <w:t>3</w:t>
        </w:r>
        <w:r w:rsidRPr="008D5960">
          <w:rPr>
            <w:rFonts w:ascii="Times New Roman" w:hAnsi="Times New Roman" w:cs="Times New Roman"/>
            <w:sz w:val="24"/>
          </w:rPr>
          <w:fldChar w:fldCharType="end"/>
        </w:r>
      </w:sdtContent>
    </w:sdt>
  </w:p>
  <w:p w:rsidR="008D5960" w:rsidRPr="008D5960" w:rsidRDefault="008D596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60" w:rsidRPr="008D5960" w:rsidRDefault="008D5960">
    <w:pPr>
      <w:pStyle w:val="Header"/>
      <w:jc w:val="right"/>
      <w:rPr>
        <w:rFonts w:ascii="Times New Roman" w:hAnsi="Times New Roman" w:cs="Times New Roman"/>
        <w:sz w:val="24"/>
      </w:rPr>
    </w:pPr>
    <w:r w:rsidRPr="008D5960">
      <w:rPr>
        <w:rFonts w:ascii="Times New Roman" w:hAnsi="Times New Roman" w:cs="Times New Roman"/>
        <w:sz w:val="24"/>
      </w:rPr>
      <w:t xml:space="preserve">Running Head: VICARIOUS TRAUMA ASSESSMENT </w:t>
    </w:r>
    <w:r w:rsidRPr="008D5960">
      <w:rPr>
        <w:rFonts w:ascii="Times New Roman" w:hAnsi="Times New Roman" w:cs="Times New Roman"/>
        <w:sz w:val="24"/>
      </w:rPr>
      <w:tab/>
    </w:r>
    <w:sdt>
      <w:sdtPr>
        <w:rPr>
          <w:rFonts w:ascii="Times New Roman" w:hAnsi="Times New Roman" w:cs="Times New Roman"/>
          <w:sz w:val="24"/>
        </w:rPr>
        <w:id w:val="361979287"/>
        <w:docPartObj>
          <w:docPartGallery w:val="Page Numbers (Top of Page)"/>
          <w:docPartUnique/>
        </w:docPartObj>
      </w:sdtPr>
      <w:sdtContent>
        <w:r w:rsidRPr="008D5960">
          <w:rPr>
            <w:rFonts w:ascii="Times New Roman" w:hAnsi="Times New Roman" w:cs="Times New Roman"/>
            <w:sz w:val="24"/>
          </w:rPr>
          <w:fldChar w:fldCharType="begin"/>
        </w:r>
        <w:r w:rsidRPr="008D5960">
          <w:rPr>
            <w:rFonts w:ascii="Times New Roman" w:hAnsi="Times New Roman" w:cs="Times New Roman"/>
            <w:sz w:val="24"/>
          </w:rPr>
          <w:instrText xml:space="preserve"> PAGE   \* MERGEFORMAT </w:instrText>
        </w:r>
        <w:r w:rsidRPr="008D5960">
          <w:rPr>
            <w:rFonts w:ascii="Times New Roman" w:hAnsi="Times New Roman" w:cs="Times New Roman"/>
            <w:sz w:val="24"/>
          </w:rPr>
          <w:fldChar w:fldCharType="separate"/>
        </w:r>
        <w:r w:rsidR="00A91EE7">
          <w:rPr>
            <w:rFonts w:ascii="Times New Roman" w:hAnsi="Times New Roman" w:cs="Times New Roman"/>
            <w:noProof/>
            <w:sz w:val="24"/>
          </w:rPr>
          <w:t>1</w:t>
        </w:r>
        <w:r w:rsidRPr="008D5960">
          <w:rPr>
            <w:rFonts w:ascii="Times New Roman" w:hAnsi="Times New Roman" w:cs="Times New Roman"/>
            <w:sz w:val="24"/>
          </w:rPr>
          <w:fldChar w:fldCharType="end"/>
        </w:r>
      </w:sdtContent>
    </w:sdt>
  </w:p>
  <w:p w:rsidR="008D5960" w:rsidRPr="008D5960" w:rsidRDefault="008D596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17B34"/>
    <w:rsid w:val="001A51FA"/>
    <w:rsid w:val="002478B1"/>
    <w:rsid w:val="003D3628"/>
    <w:rsid w:val="004A0C3C"/>
    <w:rsid w:val="00817B34"/>
    <w:rsid w:val="008D5960"/>
    <w:rsid w:val="00A91EE7"/>
    <w:rsid w:val="00B36495"/>
    <w:rsid w:val="00C95F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362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7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8B1"/>
    <w:rPr>
      <w:rFonts w:ascii="Tahoma" w:hAnsi="Tahoma" w:cs="Tahoma"/>
      <w:sz w:val="16"/>
      <w:szCs w:val="16"/>
    </w:rPr>
  </w:style>
  <w:style w:type="character" w:customStyle="1" w:styleId="Heading1Char">
    <w:name w:val="Heading 1 Char"/>
    <w:basedOn w:val="DefaultParagraphFont"/>
    <w:link w:val="Heading1"/>
    <w:uiPriority w:val="9"/>
    <w:rsid w:val="003D362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D3628"/>
  </w:style>
  <w:style w:type="paragraph" w:styleId="Header">
    <w:name w:val="header"/>
    <w:basedOn w:val="Normal"/>
    <w:link w:val="HeaderChar"/>
    <w:uiPriority w:val="99"/>
    <w:unhideWhenUsed/>
    <w:rsid w:val="008D5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960"/>
  </w:style>
  <w:style w:type="paragraph" w:styleId="Footer">
    <w:name w:val="footer"/>
    <w:basedOn w:val="Normal"/>
    <w:link w:val="FooterChar"/>
    <w:uiPriority w:val="99"/>
    <w:semiHidden/>
    <w:unhideWhenUsed/>
    <w:rsid w:val="008D59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59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Car17</b:Tag>
    <b:SourceType>JournalArticle</b:SourceType>
    <b:Guid>{CBF31EC6-0C51-48DA-AD55-8A595D704078}</b:Guid>
    <b:LCID>0</b:LCID>
    <b:Author>
      <b:Author>
        <b:NameList>
          <b:Person>
            <b:Last>Caringi</b:Last>
            <b:First>James</b:First>
            <b:Middle>C.</b:Middle>
          </b:Person>
          <b:Person>
            <b:Last>Hardiman</b:Last>
            <b:First>Eric</b:First>
            <b:Middle>R.</b:Middle>
          </b:Person>
          <b:Person>
            <b:Last>Weldon</b:Last>
            <b:First>Patricia</b:First>
          </b:Person>
          <b:Person>
            <b:Last>Fletcher</b:Last>
            <b:First>Samantha</b:First>
          </b:Person>
          <b:Person>
            <b:Last>Devlin</b:Last>
            <b:First>mary</b:First>
          </b:Person>
          <b:Person>
            <b:Last>Stanick</b:Last>
            <b:First>Cameo</b:First>
          </b:Person>
        </b:NameList>
      </b:Author>
    </b:Author>
    <b:Title>Secondary traumatic stress and licensed clinical social workers.</b:Title>
    <b:JournalName>Traumatology</b:JournalName>
    <b:Year>2017</b:Year>
    <b:Pages>186</b:Pages>
    <b:Volume>23</b:Volume>
    <b:Issue>2</b:Issue>
    <b:RefOrder>2</b:RefOrder>
  </b:Source>
  <b:Source>
    <b:Tag>Har13</b:Tag>
    <b:SourceType>JournalArticle</b:SourceType>
    <b:Guid>{80FC61F3-A8BE-420C-AD31-92595127BED5}</b:Guid>
    <b:LCID>0</b:LCID>
    <b:Author>
      <b:Author>
        <b:NameList>
          <b:Person>
            <b:Last>Hardiman</b:Last>
            <b:First>Piers</b:First>
          </b:Person>
          <b:Person>
            <b:Last>Simmonds</b:Last>
            <b:First>Janette</b:First>
            <b:Middle>Graetz</b:Middle>
          </b:Person>
        </b:NameList>
      </b:Author>
    </b:Author>
    <b:Title>Spiritual well-being, burnout and trauma in counsellors and psychotherapists</b:Title>
    <b:Year>2013</b:Year>
    <b:Month>December</b:Month>
    <b:Day>1</b:Day>
    <b:JournalName>Mental Health, Religion and Culture</b:JournalName>
    <b:Pages>1044-1055(12)</b:Pages>
    <b:Publisher>Routledge, part of the Taykor &amp; Francis Group</b:Publisher>
    <b:Volume>16</b:Volume>
    <b:Issue>10</b:Issue>
    <b:ShortTitle>https://doi.org/10.1080/13674676.2012.732560</b:ShortTitle>
    <b:RefOrder>4</b:RefOrder>
  </b:Source>
  <b:Source>
    <b:Tag>Ede16</b:Tag>
    <b:SourceType>JournalArticle</b:SourceType>
    <b:Guid>{99FB2509-DEFC-4C3B-9981-7B7892C12E5F}</b:Guid>
    <b:LCID>0</b:LCID>
    <b:Author>
      <b:Author>
        <b:NameList>
          <b:Person>
            <b:Last>Edelkott</b:Last>
            <b:First>Noemi</b:First>
          </b:Person>
          <b:Person>
            <b:Last>Engstrom</b:Last>
            <b:First>David</b:First>
            <b:Middle>W.</b:Middle>
          </b:Person>
          <b:Person>
            <b:Last>Hernandez-Wolfe</b:Last>
            <b:First>Pilar</b:First>
          </b:Person>
          <b:Person>
            <b:Last>Gangsei</b:Last>
            <b:First>David</b:First>
          </b:Person>
        </b:NameList>
      </b:Author>
    </b:Author>
    <b:Title>Vicarious resilience: Complexities and variations.</b:Title>
    <b:JournalName>American Journal of Orthopsychiatry</b:JournalName>
    <b:Year>2016</b:Year>
    <b:Pages>713</b:Pages>
    <b:Volume>86</b:Volume>
    <b:Issue>6</b:Issue>
    <b:RefOrder>1</b:RefOrder>
  </b:Source>
  <b:Source>
    <b:Tag>Ber161</b:Tag>
    <b:SourceType>JournalArticle</b:SourceType>
    <b:Guid>{5195D4C0-2561-4C39-B29E-699320B9F51A}</b:Guid>
    <b:LCID>0</b:LCID>
    <b:Author>
      <b:Author>
        <b:NameList>
          <b:Person>
            <b:Last>Berger</b:Last>
            <b:First>Roni</b:First>
          </b:Person>
          <b:Person>
            <b:Last>Quiros</b:Last>
            <b:First>Laura</b:First>
          </b:Person>
        </b:NameList>
      </b:Author>
    </b:Author>
    <b:Title>Best practices for training trauma-informed practitioners: Supervisors’ voice</b:Title>
    <b:JournalName>Traumatology</b:JournalName>
    <b:Year>2016</b:Year>
    <b:Pages>145</b:Pages>
    <b:Volume>22</b:Volume>
    <b:Issue>2</b:Issue>
    <b:RefOrder>3</b:RefOrder>
  </b:Source>
</b:Sources>
</file>

<file path=customXml/itemProps1.xml><?xml version="1.0" encoding="utf-8"?>
<ds:datastoreItem xmlns:ds="http://schemas.openxmlformats.org/officeDocument/2006/customXml" ds:itemID="{75E43001-B2A9-430F-B8A2-258AB1E2D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4</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2019-10-02T18:27:00Z</dcterms:created>
  <dcterms:modified xsi:type="dcterms:W3CDTF">2019-10-02T23:08:00Z</dcterms:modified>
</cp:coreProperties>
</file>